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قبل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حكم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الاستئناف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..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منظمات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المجتمع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المدني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من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حول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العالم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تدعو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للإفراج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عن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أحمد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دومة</w:t>
      </w:r>
    </w:p>
    <w:p w:rsidR="00000000" w:rsidDel="00000000" w:rsidP="00000000" w:rsidRDefault="00000000" w:rsidRPr="00000000" w14:paraId="00000002">
      <w:pPr>
        <w:bidi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تدعو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منظمات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المجتمع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المدني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الموقعة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أدناه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من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مختلف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أنحاء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العالم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السلطات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المصرية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إلى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الإفراج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الفوري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وغير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المشروط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الناشط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والشاعر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والكاتب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المصري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أحمد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دومة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4">
      <w:pPr>
        <w:bidi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ينتظر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</w:t>
      </w:r>
      <w:r w:rsidDel="00000000" w:rsidR="00000000" w:rsidRPr="00000000">
        <w:rPr>
          <w:sz w:val="24"/>
          <w:szCs w:val="24"/>
          <w:rtl w:val="1"/>
        </w:rPr>
        <w:t xml:space="preserve">ُ</w:t>
      </w:r>
      <w:r w:rsidDel="00000000" w:rsidR="00000000" w:rsidRPr="00000000">
        <w:rPr>
          <w:sz w:val="24"/>
          <w:szCs w:val="24"/>
          <w:rtl w:val="1"/>
        </w:rPr>
        <w:t xml:space="preserve">صدر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محكمة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الجنح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المستأنفة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بالتجمع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الخامس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في</w:t>
      </w:r>
      <w:r w:rsidDel="00000000" w:rsidR="00000000" w:rsidRPr="00000000">
        <w:rPr>
          <w:sz w:val="24"/>
          <w:szCs w:val="24"/>
          <w:rtl w:val="1"/>
        </w:rPr>
        <w:t xml:space="preserve"> 16 </w:t>
      </w:r>
      <w:r w:rsidDel="00000000" w:rsidR="00000000" w:rsidRPr="00000000">
        <w:rPr>
          <w:sz w:val="24"/>
          <w:szCs w:val="24"/>
          <w:rtl w:val="1"/>
        </w:rPr>
        <w:t xml:space="preserve">يوليو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الجاري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حكمها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استئناف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دومة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على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الحكم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الصادر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بحبسه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لمدة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عام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في</w:t>
      </w:r>
      <w:r w:rsidDel="00000000" w:rsidR="00000000" w:rsidRPr="00000000">
        <w:rPr>
          <w:sz w:val="24"/>
          <w:szCs w:val="24"/>
          <w:rtl w:val="1"/>
        </w:rPr>
        <w:t xml:space="preserve"> 3 </w:t>
      </w:r>
      <w:r w:rsidDel="00000000" w:rsidR="00000000" w:rsidRPr="00000000">
        <w:rPr>
          <w:sz w:val="24"/>
          <w:szCs w:val="24"/>
          <w:rtl w:val="1"/>
        </w:rPr>
        <w:t xml:space="preserve">يونيو</w:t>
      </w:r>
      <w:r w:rsidDel="00000000" w:rsidR="00000000" w:rsidRPr="00000000">
        <w:rPr>
          <w:sz w:val="24"/>
          <w:szCs w:val="24"/>
          <w:rtl w:val="1"/>
        </w:rPr>
        <w:t xml:space="preserve"> 2026. </w:t>
      </w:r>
      <w:r w:rsidDel="00000000" w:rsidR="00000000" w:rsidRPr="00000000">
        <w:rPr>
          <w:sz w:val="24"/>
          <w:szCs w:val="24"/>
          <w:rtl w:val="1"/>
        </w:rPr>
        <w:t xml:space="preserve">وكان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دومة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قد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</w:t>
      </w:r>
      <w:r w:rsidDel="00000000" w:rsidR="00000000" w:rsidRPr="00000000">
        <w:rPr>
          <w:sz w:val="24"/>
          <w:szCs w:val="24"/>
          <w:rtl w:val="1"/>
        </w:rPr>
        <w:t xml:space="preserve">ُ</w:t>
      </w:r>
      <w:r w:rsidDel="00000000" w:rsidR="00000000" w:rsidRPr="00000000">
        <w:rPr>
          <w:sz w:val="24"/>
          <w:szCs w:val="24"/>
          <w:rtl w:val="1"/>
        </w:rPr>
        <w:t xml:space="preserve">حيل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إلى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المحاكمة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على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خلفية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نشره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1"/>
          </w:rPr>
          <w:t xml:space="preserve">مقال</w:t>
        </w:r>
      </w:hyperlink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1"/>
          </w:rPr>
          <w:t xml:space="preserve">ً</w:t>
        </w:r>
      </w:hyperlink>
      <w:hyperlink r:id="rId8">
        <w:r w:rsidDel="00000000" w:rsidR="00000000" w:rsidRPr="00000000">
          <w:rPr>
            <w:color w:val="1155cc"/>
            <w:sz w:val="24"/>
            <w:szCs w:val="24"/>
            <w:u w:val="single"/>
            <w:rtl w:val="1"/>
          </w:rPr>
          <w:t xml:space="preserve">ا</w:t>
        </w:r>
      </w:hyperlink>
      <w:hyperlink r:id="rId9">
        <w:r w:rsidDel="00000000" w:rsidR="00000000" w:rsidRPr="00000000">
          <w:rPr>
            <w:color w:val="1155cc"/>
            <w:sz w:val="24"/>
            <w:szCs w:val="24"/>
            <w:u w:val="single"/>
            <w:rtl w:val="1"/>
          </w:rPr>
          <w:t xml:space="preserve"> </w:t>
        </w:r>
      </w:hyperlink>
      <w:r w:rsidDel="00000000" w:rsidR="00000000" w:rsidRPr="00000000">
        <w:rPr>
          <w:sz w:val="24"/>
          <w:szCs w:val="24"/>
          <w:rtl w:val="1"/>
        </w:rPr>
        <w:t xml:space="preserve">على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موقع</w:t>
      </w:r>
      <w:r w:rsidDel="00000000" w:rsidR="00000000" w:rsidRPr="00000000">
        <w:rPr>
          <w:sz w:val="24"/>
          <w:szCs w:val="24"/>
          <w:rtl w:val="1"/>
        </w:rPr>
        <w:t xml:space="preserve"> "</w:t>
      </w:r>
      <w:r w:rsidDel="00000000" w:rsidR="00000000" w:rsidRPr="00000000">
        <w:rPr>
          <w:sz w:val="24"/>
          <w:szCs w:val="24"/>
          <w:rtl w:val="1"/>
        </w:rPr>
        <w:t xml:space="preserve">العربي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الجديد</w:t>
      </w:r>
      <w:r w:rsidDel="00000000" w:rsidR="00000000" w:rsidRPr="00000000">
        <w:rPr>
          <w:sz w:val="24"/>
          <w:szCs w:val="24"/>
          <w:rtl w:val="1"/>
        </w:rPr>
        <w:t xml:space="preserve">" </w:t>
      </w:r>
      <w:r w:rsidDel="00000000" w:rsidR="00000000" w:rsidRPr="00000000">
        <w:rPr>
          <w:sz w:val="24"/>
          <w:szCs w:val="24"/>
          <w:rtl w:val="1"/>
        </w:rPr>
        <w:t xml:space="preserve">بعنوان</w:t>
      </w:r>
      <w:r w:rsidDel="00000000" w:rsidR="00000000" w:rsidRPr="00000000">
        <w:rPr>
          <w:sz w:val="24"/>
          <w:szCs w:val="24"/>
          <w:rtl w:val="1"/>
        </w:rPr>
        <w:t xml:space="preserve"> "</w:t>
      </w:r>
      <w:r w:rsidDel="00000000" w:rsidR="00000000" w:rsidRPr="00000000">
        <w:rPr>
          <w:sz w:val="24"/>
          <w:szCs w:val="24"/>
          <w:rtl w:val="1"/>
        </w:rPr>
        <w:t xml:space="preserve">من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السجن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داخل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الدولة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إلى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الدولة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داخل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السجن</w:t>
      </w:r>
      <w:r w:rsidDel="00000000" w:rsidR="00000000" w:rsidRPr="00000000">
        <w:rPr>
          <w:sz w:val="24"/>
          <w:szCs w:val="24"/>
          <w:rtl w:val="1"/>
        </w:rPr>
        <w:t xml:space="preserve">"، </w:t>
      </w:r>
      <w:r w:rsidDel="00000000" w:rsidR="00000000" w:rsidRPr="00000000">
        <w:rPr>
          <w:sz w:val="24"/>
          <w:szCs w:val="24"/>
          <w:rtl w:val="1"/>
        </w:rPr>
        <w:t xml:space="preserve">استعرض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فيه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أمثلة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دول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مختلفة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حول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العالم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ليبرهن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سجن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المعارضين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السياسيين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يهدد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استقرار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الدول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6">
      <w:pPr>
        <w:bidi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bidi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وأ</w:t>
      </w:r>
      <w:r w:rsidDel="00000000" w:rsidR="00000000" w:rsidRPr="00000000">
        <w:rPr>
          <w:sz w:val="24"/>
          <w:szCs w:val="24"/>
          <w:rtl w:val="1"/>
        </w:rPr>
        <w:t xml:space="preserve">ُ</w:t>
      </w:r>
      <w:r w:rsidDel="00000000" w:rsidR="00000000" w:rsidRPr="00000000">
        <w:rPr>
          <w:sz w:val="24"/>
          <w:szCs w:val="24"/>
          <w:rtl w:val="1"/>
        </w:rPr>
        <w:t xml:space="preserve">دين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دومة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على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خلفية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هذا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المقال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إلى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جانب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منشور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على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مواقع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التواصل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الاجتماعي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تناول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أوضاع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الاحتجاز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بتهمة</w:t>
      </w:r>
      <w:r w:rsidDel="00000000" w:rsidR="00000000" w:rsidRPr="00000000">
        <w:rPr>
          <w:sz w:val="24"/>
          <w:szCs w:val="24"/>
          <w:rtl w:val="1"/>
        </w:rPr>
        <w:t xml:space="preserve"> "</w:t>
      </w:r>
      <w:r w:rsidDel="00000000" w:rsidR="00000000" w:rsidRPr="00000000">
        <w:rPr>
          <w:sz w:val="24"/>
          <w:szCs w:val="24"/>
          <w:rtl w:val="1"/>
        </w:rPr>
        <w:t xml:space="preserve">نشر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وإذاعة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أخبار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كاذبة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الداخل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والخارج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من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شأنها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تكدير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الأمن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العام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وإلقاء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الرعب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بين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الناس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والإضرار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بالمصلحة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العامة</w:t>
      </w:r>
      <w:r w:rsidDel="00000000" w:rsidR="00000000" w:rsidRPr="00000000">
        <w:rPr>
          <w:sz w:val="24"/>
          <w:szCs w:val="24"/>
          <w:rtl w:val="1"/>
        </w:rPr>
        <w:t xml:space="preserve">". </w:t>
      </w:r>
      <w:hyperlink r:id="rId10">
        <w:r w:rsidDel="00000000" w:rsidR="00000000" w:rsidRPr="00000000">
          <w:rPr>
            <w:color w:val="1155cc"/>
            <w:sz w:val="24"/>
            <w:szCs w:val="24"/>
            <w:u w:val="single"/>
            <w:rtl w:val="1"/>
          </w:rPr>
          <w:t xml:space="preserve">ويقبع</w:t>
        </w:r>
      </w:hyperlink>
      <w:hyperlink r:id="rId11">
        <w:r w:rsidDel="00000000" w:rsidR="00000000" w:rsidRPr="00000000">
          <w:rPr>
            <w:color w:val="1155cc"/>
            <w:sz w:val="24"/>
            <w:szCs w:val="24"/>
            <w:u w:val="single"/>
            <w:rtl w:val="1"/>
          </w:rPr>
          <w:t xml:space="preserve"> </w:t>
        </w:r>
      </w:hyperlink>
      <w:r w:rsidDel="00000000" w:rsidR="00000000" w:rsidRPr="00000000">
        <w:rPr>
          <w:sz w:val="24"/>
          <w:szCs w:val="24"/>
          <w:rtl w:val="1"/>
        </w:rPr>
        <w:t xml:space="preserve">دومة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محبسه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منذ</w:t>
      </w:r>
      <w:r w:rsidDel="00000000" w:rsidR="00000000" w:rsidRPr="00000000">
        <w:rPr>
          <w:sz w:val="24"/>
          <w:szCs w:val="24"/>
          <w:rtl w:val="1"/>
        </w:rPr>
        <w:t xml:space="preserve"> 6 </w:t>
      </w:r>
      <w:r w:rsidDel="00000000" w:rsidR="00000000" w:rsidRPr="00000000">
        <w:rPr>
          <w:sz w:val="24"/>
          <w:szCs w:val="24"/>
          <w:rtl w:val="1"/>
        </w:rPr>
        <w:t xml:space="preserve">أبريل</w:t>
      </w:r>
      <w:r w:rsidDel="00000000" w:rsidR="00000000" w:rsidRPr="00000000">
        <w:rPr>
          <w:sz w:val="24"/>
          <w:szCs w:val="24"/>
          <w:rtl w:val="1"/>
        </w:rPr>
        <w:t xml:space="preserve"> 2026.</w:t>
      </w:r>
    </w:p>
    <w:p w:rsidR="00000000" w:rsidDel="00000000" w:rsidP="00000000" w:rsidRDefault="00000000" w:rsidRPr="00000000" w14:paraId="00000008">
      <w:pPr>
        <w:bidi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bidi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لم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يكن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ينبغي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القبض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على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أحمد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دومة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محاكمته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وإدانته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الأساس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فملاحقة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كاتب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مثل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دومة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قضائي</w:t>
      </w:r>
      <w:r w:rsidDel="00000000" w:rsidR="00000000" w:rsidRPr="00000000">
        <w:rPr>
          <w:sz w:val="24"/>
          <w:szCs w:val="24"/>
          <w:rtl w:val="1"/>
        </w:rPr>
        <w:t xml:space="preserve">ً</w:t>
      </w:r>
      <w:r w:rsidDel="00000000" w:rsidR="00000000" w:rsidRPr="00000000">
        <w:rPr>
          <w:sz w:val="24"/>
          <w:szCs w:val="24"/>
          <w:rtl w:val="1"/>
        </w:rPr>
        <w:t xml:space="preserve">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على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خلفية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مقال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رأي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ن</w:t>
      </w:r>
      <w:r w:rsidDel="00000000" w:rsidR="00000000" w:rsidRPr="00000000">
        <w:rPr>
          <w:sz w:val="24"/>
          <w:szCs w:val="24"/>
          <w:rtl w:val="1"/>
        </w:rPr>
        <w:t xml:space="preserve">ُ</w:t>
      </w:r>
      <w:r w:rsidDel="00000000" w:rsidR="00000000" w:rsidRPr="00000000">
        <w:rPr>
          <w:sz w:val="24"/>
          <w:szCs w:val="24"/>
          <w:rtl w:val="1"/>
        </w:rPr>
        <w:t xml:space="preserve">شر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منصة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إعلامية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معروفة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يمكن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اعتبارها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سوى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انتهاك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جسيم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لحقه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المكفول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حرية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الرأي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والتعبير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وتصعيد</w:t>
      </w:r>
      <w:r w:rsidDel="00000000" w:rsidR="00000000" w:rsidRPr="00000000">
        <w:rPr>
          <w:sz w:val="24"/>
          <w:szCs w:val="24"/>
          <w:rtl w:val="1"/>
        </w:rPr>
        <w:t xml:space="preserve">ً</w:t>
      </w:r>
      <w:r w:rsidDel="00000000" w:rsidR="00000000" w:rsidRPr="00000000">
        <w:rPr>
          <w:sz w:val="24"/>
          <w:szCs w:val="24"/>
          <w:rtl w:val="1"/>
        </w:rPr>
        <w:t xml:space="preserve">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جانب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السلطات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المصرية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ضد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كل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يطرح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وجهات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نظر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بديلة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يثير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قضايا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مهمة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تستحق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النقاش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والحوار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السلمي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وفي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الوقت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الذي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تقدم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فيه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مصر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نفسها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باعتبارها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لاعب</w:t>
      </w:r>
      <w:r w:rsidDel="00000000" w:rsidR="00000000" w:rsidRPr="00000000">
        <w:rPr>
          <w:sz w:val="24"/>
          <w:szCs w:val="24"/>
          <w:rtl w:val="1"/>
        </w:rPr>
        <w:t xml:space="preserve">ً</w:t>
      </w:r>
      <w:r w:rsidDel="00000000" w:rsidR="00000000" w:rsidRPr="00000000">
        <w:rPr>
          <w:sz w:val="24"/>
          <w:szCs w:val="24"/>
          <w:rtl w:val="1"/>
        </w:rPr>
        <w:t xml:space="preserve">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قيادي</w:t>
      </w:r>
      <w:r w:rsidDel="00000000" w:rsidR="00000000" w:rsidRPr="00000000">
        <w:rPr>
          <w:sz w:val="24"/>
          <w:szCs w:val="24"/>
          <w:rtl w:val="1"/>
        </w:rPr>
        <w:t xml:space="preserve">ً</w:t>
      </w:r>
      <w:r w:rsidDel="00000000" w:rsidR="00000000" w:rsidRPr="00000000">
        <w:rPr>
          <w:sz w:val="24"/>
          <w:szCs w:val="24"/>
          <w:rtl w:val="1"/>
        </w:rPr>
        <w:t xml:space="preserve">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على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الساحة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الدولية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ظل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تصاعد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الصراعات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والتوترات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العالمية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فإن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استمرار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استهداف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أشكال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التعبير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السلمي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الرأي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يمثل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سوى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خطوة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إلى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الوراء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ولن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يسهم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جعل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البلاد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المنطقة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أكثر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استقرار</w:t>
      </w:r>
      <w:r w:rsidDel="00000000" w:rsidR="00000000" w:rsidRPr="00000000">
        <w:rPr>
          <w:sz w:val="24"/>
          <w:szCs w:val="24"/>
          <w:rtl w:val="1"/>
        </w:rPr>
        <w:t xml:space="preserve">ً</w:t>
      </w:r>
      <w:r w:rsidDel="00000000" w:rsidR="00000000" w:rsidRPr="00000000">
        <w:rPr>
          <w:sz w:val="24"/>
          <w:szCs w:val="24"/>
          <w:rtl w:val="1"/>
        </w:rPr>
        <w:t xml:space="preserve">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وأمن</w:t>
      </w:r>
      <w:r w:rsidDel="00000000" w:rsidR="00000000" w:rsidRPr="00000000">
        <w:rPr>
          <w:sz w:val="24"/>
          <w:szCs w:val="24"/>
          <w:rtl w:val="1"/>
        </w:rPr>
        <w:t xml:space="preserve">ً</w:t>
      </w:r>
      <w:r w:rsidDel="00000000" w:rsidR="00000000" w:rsidRPr="00000000">
        <w:rPr>
          <w:sz w:val="24"/>
          <w:szCs w:val="24"/>
          <w:rtl w:val="1"/>
        </w:rPr>
        <w:t xml:space="preserve">ا</w:t>
      </w:r>
      <w:r w:rsidDel="00000000" w:rsidR="00000000" w:rsidRPr="00000000">
        <w:rPr>
          <w:sz w:val="24"/>
          <w:szCs w:val="24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bidi w:val="1"/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لم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تترك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حيثيات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الحكم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الصادر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بحبس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دومة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لمدة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عام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مجال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للشك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أنه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حوكم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لمجرد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ممارسته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حقه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المشروع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حرية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الرأي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والتعبير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ودفاعه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حقوق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السجناء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مصر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فقد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اعتبرت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المحكمة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مقال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الرأي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الذي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نشره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تضمن</w:t>
      </w:r>
      <w:r w:rsidDel="00000000" w:rsidR="00000000" w:rsidRPr="00000000">
        <w:rPr>
          <w:sz w:val="24"/>
          <w:szCs w:val="24"/>
          <w:rtl w:val="1"/>
        </w:rPr>
        <w:t xml:space="preserve"> "</w:t>
      </w:r>
      <w:r w:rsidDel="00000000" w:rsidR="00000000" w:rsidRPr="00000000">
        <w:rPr>
          <w:sz w:val="24"/>
          <w:szCs w:val="24"/>
          <w:rtl w:val="1"/>
        </w:rPr>
        <w:t xml:space="preserve">ادعاءات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ساقها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المتهم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صورة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وقائع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ثابتة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مؤداها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تعمد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مؤسسات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الدولة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ترهيب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المواطنين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والتنكيل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بهم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واستخدام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دور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الإصلاح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والتأهيل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كوسيلة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للإخفاء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لسنوات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بتواطؤ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مؤسسات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الدولة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بما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يوحي</w:t>
      </w:r>
      <w:r w:rsidDel="00000000" w:rsidR="00000000" w:rsidRPr="00000000">
        <w:rPr>
          <w:sz w:val="24"/>
          <w:szCs w:val="24"/>
          <w:rtl w:val="1"/>
        </w:rPr>
        <w:t xml:space="preserve"> -</w:t>
      </w:r>
      <w:r w:rsidDel="00000000" w:rsidR="00000000" w:rsidRPr="00000000">
        <w:rPr>
          <w:sz w:val="24"/>
          <w:szCs w:val="24"/>
          <w:rtl w:val="1"/>
        </w:rPr>
        <w:t xml:space="preserve">على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خلاف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الحقيقة</w:t>
      </w:r>
      <w:r w:rsidDel="00000000" w:rsidR="00000000" w:rsidRPr="00000000">
        <w:rPr>
          <w:sz w:val="24"/>
          <w:szCs w:val="24"/>
          <w:rtl w:val="1"/>
        </w:rPr>
        <w:t xml:space="preserve">- </w:t>
      </w:r>
      <w:r w:rsidDel="00000000" w:rsidR="00000000" w:rsidRPr="00000000">
        <w:rPr>
          <w:sz w:val="24"/>
          <w:szCs w:val="24"/>
          <w:rtl w:val="1"/>
        </w:rPr>
        <w:t xml:space="preserve">بانتهاك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مؤسسات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الدولة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والعاملين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بها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لأحكام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الدستور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والقانون</w:t>
      </w:r>
      <w:r w:rsidDel="00000000" w:rsidR="00000000" w:rsidRPr="00000000">
        <w:rPr>
          <w:sz w:val="24"/>
          <w:szCs w:val="24"/>
          <w:rtl w:val="1"/>
        </w:rPr>
        <w:t xml:space="preserve">". </w:t>
      </w:r>
      <w:r w:rsidDel="00000000" w:rsidR="00000000" w:rsidRPr="00000000">
        <w:rPr>
          <w:sz w:val="24"/>
          <w:szCs w:val="24"/>
          <w:rtl w:val="1"/>
        </w:rPr>
        <w:t xml:space="preserve">وقضت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المحكمة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بإدانة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دومة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بعدما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رفضت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أغلب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طلبات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الدفاع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والتي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كان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بينها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طلب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سماع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شهود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النفي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وطلب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معاينة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أوضاع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السجون</w:t>
      </w:r>
      <w:r w:rsidDel="00000000" w:rsidR="00000000" w:rsidRPr="00000000">
        <w:rPr>
          <w:sz w:val="24"/>
          <w:szCs w:val="24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bidi w:val="1"/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وقبل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صدور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هذا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الحكم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الأخير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سبق</w:t>
      </w:r>
      <w:r w:rsidDel="00000000" w:rsidR="00000000" w:rsidRPr="00000000">
        <w:rPr>
          <w:sz w:val="24"/>
          <w:szCs w:val="24"/>
          <w:rtl w:val="1"/>
        </w:rPr>
        <w:t xml:space="preserve"> </w:t>
      </w:r>
      <w:hyperlink r:id="rId12">
        <w:r w:rsidDel="00000000" w:rsidR="00000000" w:rsidRPr="00000000">
          <w:rPr>
            <w:color w:val="1155cc"/>
            <w:sz w:val="24"/>
            <w:szCs w:val="24"/>
            <w:u w:val="single"/>
            <w:rtl w:val="1"/>
          </w:rPr>
          <w:t xml:space="preserve">وأمضى</w:t>
        </w:r>
      </w:hyperlink>
      <w:hyperlink r:id="rId13">
        <w:r w:rsidDel="00000000" w:rsidR="00000000" w:rsidRPr="00000000">
          <w:rPr>
            <w:color w:val="1155cc"/>
            <w:sz w:val="24"/>
            <w:szCs w:val="24"/>
            <w:u w:val="single"/>
            <w:rtl w:val="1"/>
          </w:rPr>
          <w:t xml:space="preserve"> </w:t>
        </w:r>
      </w:hyperlink>
      <w:r w:rsidDel="00000000" w:rsidR="00000000" w:rsidRPr="00000000">
        <w:rPr>
          <w:sz w:val="24"/>
          <w:szCs w:val="24"/>
          <w:rtl w:val="1"/>
        </w:rPr>
        <w:t xml:space="preserve">دومة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أكثر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عشر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سنوات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السجن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بسبب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ممارسته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حقوقه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المكفولة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دستوري</w:t>
      </w:r>
      <w:r w:rsidDel="00000000" w:rsidR="00000000" w:rsidRPr="00000000">
        <w:rPr>
          <w:sz w:val="24"/>
          <w:szCs w:val="24"/>
          <w:rtl w:val="1"/>
        </w:rPr>
        <w:t xml:space="preserve">ً</w:t>
      </w:r>
      <w:r w:rsidDel="00000000" w:rsidR="00000000" w:rsidRPr="00000000">
        <w:rPr>
          <w:sz w:val="24"/>
          <w:szCs w:val="24"/>
          <w:rtl w:val="1"/>
        </w:rPr>
        <w:t xml:space="preserve">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حرية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الرأي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والتعبير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وخلال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تلك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الفترة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hyperlink r:id="rId14">
        <w:r w:rsidDel="00000000" w:rsidR="00000000" w:rsidRPr="00000000">
          <w:rPr>
            <w:color w:val="1155cc"/>
            <w:sz w:val="24"/>
            <w:szCs w:val="24"/>
            <w:u w:val="single"/>
            <w:rtl w:val="1"/>
          </w:rPr>
          <w:t xml:space="preserve">تعرض</w:t>
        </w:r>
      </w:hyperlink>
      <w:hyperlink r:id="rId15">
        <w:r w:rsidDel="00000000" w:rsidR="00000000" w:rsidRPr="00000000">
          <w:rPr>
            <w:color w:val="1155cc"/>
            <w:sz w:val="24"/>
            <w:szCs w:val="24"/>
            <w:u w:val="single"/>
            <w:rtl w:val="1"/>
          </w:rPr>
          <w:t xml:space="preserve"> </w:t>
        </w:r>
      </w:hyperlink>
      <w:r w:rsidDel="00000000" w:rsidR="00000000" w:rsidRPr="00000000">
        <w:rPr>
          <w:sz w:val="24"/>
          <w:szCs w:val="24"/>
          <w:rtl w:val="1"/>
        </w:rPr>
        <w:t xml:space="preserve">للتعذيب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وغيره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ضروب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المعاملة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القاسية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وبعد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الإفراج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عنه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بعفو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رئاسي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أغسطس</w:t>
      </w:r>
      <w:r w:rsidDel="00000000" w:rsidR="00000000" w:rsidRPr="00000000">
        <w:rPr>
          <w:sz w:val="24"/>
          <w:szCs w:val="24"/>
          <w:rtl w:val="1"/>
        </w:rPr>
        <w:t xml:space="preserve"> 2023 </w:t>
      </w:r>
      <w:r w:rsidDel="00000000" w:rsidR="00000000" w:rsidRPr="00000000">
        <w:rPr>
          <w:sz w:val="24"/>
          <w:szCs w:val="24"/>
          <w:rtl w:val="1"/>
        </w:rPr>
        <w:t xml:space="preserve">م</w:t>
      </w:r>
      <w:r w:rsidDel="00000000" w:rsidR="00000000" w:rsidRPr="00000000">
        <w:rPr>
          <w:sz w:val="24"/>
          <w:szCs w:val="24"/>
          <w:rtl w:val="1"/>
        </w:rPr>
        <w:t xml:space="preserve">ُ</w:t>
      </w:r>
      <w:r w:rsidDel="00000000" w:rsidR="00000000" w:rsidRPr="00000000">
        <w:rPr>
          <w:sz w:val="24"/>
          <w:szCs w:val="24"/>
          <w:rtl w:val="1"/>
        </w:rPr>
        <w:t xml:space="preserve">نع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السفر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وواجه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عقبات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حالت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دون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استكمال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دراساته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العليا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كما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تعرض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دومة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لملاحقات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قضائية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متواصلة</w:t>
      </w:r>
      <w:r w:rsidDel="00000000" w:rsidR="00000000" w:rsidRPr="00000000">
        <w:rPr>
          <w:sz w:val="24"/>
          <w:szCs w:val="24"/>
          <w:rtl w:val="1"/>
        </w:rPr>
        <w:t xml:space="preserve">؛ </w:t>
      </w:r>
      <w:r w:rsidDel="00000000" w:rsidR="00000000" w:rsidRPr="00000000">
        <w:rPr>
          <w:sz w:val="24"/>
          <w:szCs w:val="24"/>
          <w:rtl w:val="1"/>
        </w:rPr>
        <w:t xml:space="preserve">إذ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أنه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خلال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الفترة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بين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الإفراج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عنه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في</w:t>
      </w:r>
      <w:r w:rsidDel="00000000" w:rsidR="00000000" w:rsidRPr="00000000">
        <w:rPr>
          <w:sz w:val="24"/>
          <w:szCs w:val="24"/>
          <w:rtl w:val="1"/>
        </w:rPr>
        <w:t xml:space="preserve"> 2023 </w:t>
      </w:r>
      <w:r w:rsidDel="00000000" w:rsidR="00000000" w:rsidRPr="00000000">
        <w:rPr>
          <w:sz w:val="24"/>
          <w:szCs w:val="24"/>
          <w:rtl w:val="1"/>
        </w:rPr>
        <w:t xml:space="preserve">والقبض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عليه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مؤخر</w:t>
      </w:r>
      <w:r w:rsidDel="00000000" w:rsidR="00000000" w:rsidRPr="00000000">
        <w:rPr>
          <w:sz w:val="24"/>
          <w:szCs w:val="24"/>
          <w:rtl w:val="1"/>
        </w:rPr>
        <w:t xml:space="preserve">ً</w:t>
      </w:r>
      <w:r w:rsidDel="00000000" w:rsidR="00000000" w:rsidRPr="00000000">
        <w:rPr>
          <w:sz w:val="24"/>
          <w:szCs w:val="24"/>
          <w:rtl w:val="1"/>
        </w:rPr>
        <w:t xml:space="preserve">ا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است</w:t>
      </w:r>
      <w:r w:rsidDel="00000000" w:rsidR="00000000" w:rsidRPr="00000000">
        <w:rPr>
          <w:sz w:val="24"/>
          <w:szCs w:val="24"/>
          <w:rtl w:val="1"/>
        </w:rPr>
        <w:t xml:space="preserve">ُ</w:t>
      </w:r>
      <w:r w:rsidDel="00000000" w:rsidR="00000000" w:rsidRPr="00000000">
        <w:rPr>
          <w:sz w:val="24"/>
          <w:szCs w:val="24"/>
          <w:rtl w:val="1"/>
        </w:rPr>
        <w:t xml:space="preserve">دعي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دومة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للتحقيق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معه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أمام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نيابة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أمن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الدولة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ست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مرات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على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خلفية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منشوراته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على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مواقع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التواصل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الاجتماعي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وكتاباته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ونشاطه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وأ</w:t>
      </w:r>
      <w:r w:rsidDel="00000000" w:rsidR="00000000" w:rsidRPr="00000000">
        <w:rPr>
          <w:sz w:val="24"/>
          <w:szCs w:val="24"/>
          <w:rtl w:val="1"/>
        </w:rPr>
        <w:t xml:space="preserve">ُ</w:t>
      </w:r>
      <w:r w:rsidDel="00000000" w:rsidR="00000000" w:rsidRPr="00000000">
        <w:rPr>
          <w:sz w:val="24"/>
          <w:szCs w:val="24"/>
          <w:rtl w:val="1"/>
        </w:rPr>
        <w:t xml:space="preserve">لزم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بسداد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كفالات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بلغ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مجموعها</w:t>
      </w:r>
      <w:r w:rsidDel="00000000" w:rsidR="00000000" w:rsidRPr="00000000">
        <w:rPr>
          <w:sz w:val="24"/>
          <w:szCs w:val="24"/>
          <w:rtl w:val="1"/>
        </w:rPr>
        <w:t xml:space="preserve"> 230 </w:t>
      </w:r>
      <w:r w:rsidDel="00000000" w:rsidR="00000000" w:rsidRPr="00000000">
        <w:rPr>
          <w:sz w:val="24"/>
          <w:szCs w:val="24"/>
          <w:rtl w:val="1"/>
        </w:rPr>
        <w:t xml:space="preserve">ألف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جنيه</w:t>
      </w:r>
      <w:r w:rsidDel="00000000" w:rsidR="00000000" w:rsidRPr="00000000">
        <w:rPr>
          <w:sz w:val="24"/>
          <w:szCs w:val="24"/>
          <w:rtl w:val="1"/>
        </w:rPr>
        <w:t xml:space="preserve">ً</w:t>
      </w:r>
      <w:r w:rsidDel="00000000" w:rsidR="00000000" w:rsidRPr="00000000">
        <w:rPr>
          <w:sz w:val="24"/>
          <w:szCs w:val="24"/>
          <w:rtl w:val="1"/>
        </w:rPr>
        <w:t xml:space="preserve">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مصري</w:t>
      </w:r>
      <w:r w:rsidDel="00000000" w:rsidR="00000000" w:rsidRPr="00000000">
        <w:rPr>
          <w:sz w:val="24"/>
          <w:szCs w:val="24"/>
          <w:rtl w:val="1"/>
        </w:rPr>
        <w:t xml:space="preserve">ً</w:t>
      </w:r>
      <w:r w:rsidDel="00000000" w:rsidR="00000000" w:rsidRPr="00000000">
        <w:rPr>
          <w:sz w:val="24"/>
          <w:szCs w:val="24"/>
          <w:rtl w:val="1"/>
        </w:rPr>
        <w:t xml:space="preserve">ا</w:t>
      </w:r>
      <w:r w:rsidDel="00000000" w:rsidR="00000000" w:rsidRPr="00000000">
        <w:rPr>
          <w:sz w:val="24"/>
          <w:szCs w:val="24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bidi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ندعو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نحن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المنظمات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الموقعة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أدناه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السلطات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المصرية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إلى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وقف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جميع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أشكال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الملاحقة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القضائية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بحق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دومة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والإفراج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عنه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كما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ندعو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السلطات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المصرية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إلى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رفع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حظر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السفر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المفروض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عليه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بشكل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عاجل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والذي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يشكل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انتهاك</w:t>
      </w:r>
      <w:r w:rsidDel="00000000" w:rsidR="00000000" w:rsidRPr="00000000">
        <w:rPr>
          <w:sz w:val="24"/>
          <w:szCs w:val="24"/>
          <w:rtl w:val="1"/>
        </w:rPr>
        <w:t xml:space="preserve">ً</w:t>
      </w:r>
      <w:r w:rsidDel="00000000" w:rsidR="00000000" w:rsidRPr="00000000">
        <w:rPr>
          <w:sz w:val="24"/>
          <w:szCs w:val="24"/>
          <w:rtl w:val="1"/>
        </w:rPr>
        <w:t xml:space="preserve">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لحقه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حرية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التنقل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D">
      <w:pPr>
        <w:bidi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bidi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التوقيعات</w:t>
      </w:r>
      <w:r w:rsidDel="00000000" w:rsidR="00000000" w:rsidRPr="00000000">
        <w:rPr>
          <w:sz w:val="24"/>
          <w:szCs w:val="24"/>
          <w:rtl w:val="1"/>
        </w:rPr>
        <w:t xml:space="preserve"> </w:t>
      </w:r>
    </w:p>
    <w:p w:rsidR="00000000" w:rsidDel="00000000" w:rsidP="00000000" w:rsidRDefault="00000000" w:rsidRPr="00000000" w14:paraId="0000000F">
      <w:pPr>
        <w:bidi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bidi w:val="1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1"/>
        </w:rPr>
        <w:t xml:space="preserve">اللجنة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الأمريكية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لحقوق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الشرق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الأوسط</w:t>
      </w:r>
      <w:r w:rsidDel="00000000" w:rsidR="00000000" w:rsidRPr="00000000">
        <w:rPr>
          <w:sz w:val="24"/>
          <w:szCs w:val="24"/>
          <w:rtl w:val="1"/>
        </w:rPr>
        <w:t xml:space="preserve"> 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bidi w:val="1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1"/>
        </w:rPr>
        <w:t xml:space="preserve">المركز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العربي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لدراسات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القانون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والمجتمع</w:t>
      </w:r>
      <w:r w:rsidDel="00000000" w:rsidR="00000000" w:rsidRPr="00000000">
        <w:rPr>
          <w:sz w:val="24"/>
          <w:szCs w:val="24"/>
          <w:rtl w:val="1"/>
        </w:rPr>
        <w:t xml:space="preserve"> 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bidi w:val="1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1"/>
        </w:rPr>
        <w:t xml:space="preserve">المركز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العربي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لاستقلال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القضاء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والمحاماة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bidi w:val="1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1"/>
        </w:rPr>
        <w:t xml:space="preserve">المؤسسة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العربية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العربية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لدعم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المجتمع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المدني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وحقوق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الإنسان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bidi w:val="1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1"/>
        </w:rPr>
        <w:t xml:space="preserve">مؤسسة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حرية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الفكر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والتعبير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bidi w:val="1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1"/>
        </w:rPr>
        <w:t xml:space="preserve">مركز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القاهرة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لدراسات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حقوق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الإنسان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bidi w:val="1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1"/>
        </w:rPr>
        <w:t xml:space="preserve">لجنة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العدالة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bidi w:val="1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1"/>
        </w:rPr>
        <w:t xml:space="preserve">لجنة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حماية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الصحفيين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bidi w:val="1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1"/>
        </w:rPr>
        <w:t xml:space="preserve">الديمقراطية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الآن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للعالم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العربي</w:t>
      </w:r>
      <w:r w:rsidDel="00000000" w:rsidR="00000000" w:rsidRPr="00000000">
        <w:rPr>
          <w:sz w:val="24"/>
          <w:szCs w:val="24"/>
          <w:rtl w:val="1"/>
        </w:rPr>
        <w:t xml:space="preserve"> 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bidi w:val="1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1"/>
        </w:rPr>
        <w:t xml:space="preserve">المفوضية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المصرية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للحقوق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والحريات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bidi w:val="1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1"/>
        </w:rPr>
        <w:t xml:space="preserve">الجبهة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المصرية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لحقوق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الإنسان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bidi w:val="1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1"/>
        </w:rPr>
        <w:t xml:space="preserve">المبادرة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المصرية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للحقوق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الشخصية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bidi w:val="1"/>
        <w:spacing w:after="0" w:after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1"/>
        </w:rPr>
        <w:t xml:space="preserve">إيجيبت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1"/>
        </w:rPr>
        <w:t xml:space="preserve">وايد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1"/>
        </w:rPr>
        <w:t xml:space="preserve">لحقوق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1"/>
        </w:rPr>
        <w:t xml:space="preserve">الإنسان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1"/>
        </w:rPr>
        <w:t xml:space="preserve"> 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bidi w:val="1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مركز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النديم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لمناهضة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العنف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والتعذيب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bidi w:val="1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1"/>
        </w:rPr>
        <w:t xml:space="preserve">الأورو</w:t>
      </w:r>
      <w:r w:rsidDel="00000000" w:rsidR="00000000" w:rsidRPr="00000000">
        <w:rPr>
          <w:sz w:val="24"/>
          <w:szCs w:val="24"/>
          <w:rtl w:val="1"/>
        </w:rPr>
        <w:t xml:space="preserve">-</w:t>
      </w:r>
      <w:r w:rsidDel="00000000" w:rsidR="00000000" w:rsidRPr="00000000">
        <w:rPr>
          <w:sz w:val="24"/>
          <w:szCs w:val="24"/>
          <w:rtl w:val="1"/>
        </w:rPr>
        <w:t xml:space="preserve">متوسطية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للحقوق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bidi w:val="1"/>
        <w:spacing w:after="0" w:after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1"/>
        </w:rPr>
        <w:t xml:space="preserve">هيومنا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1"/>
        </w:rPr>
        <w:t xml:space="preserve">لحقوق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1"/>
        </w:rPr>
        <w:t xml:space="preserve">الإنسان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1"/>
        </w:rPr>
        <w:t xml:space="preserve">والمشاركة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1"/>
        </w:rPr>
        <w:t xml:space="preserve">المدنية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1"/>
        </w:rPr>
        <w:t xml:space="preserve"> 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bidi w:val="1"/>
        <w:spacing w:after="0" w:afterAutospacing="0" w:line="384.00000000000006" w:lineRule="auto"/>
        <w:ind w:left="720" w:hanging="360"/>
        <w:rPr>
          <w:rFonts w:ascii="Times New Roman" w:cs="Times New Roman" w:eastAsia="Times New Roman" w:hAnsi="Times New Roman"/>
          <w:color w:val="222222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1"/>
        </w:rPr>
        <w:t xml:space="preserve">الخدمة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1"/>
        </w:rPr>
        <w:t xml:space="preserve">الدولية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1"/>
        </w:rPr>
        <w:t xml:space="preserve">لحقوق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1"/>
        </w:rPr>
        <w:t xml:space="preserve">الإنسان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1"/>
        </w:rPr>
        <w:t xml:space="preserve"> 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bidi w:val="1"/>
        <w:spacing w:after="0" w:afterAutospacing="0" w:line="384.00000000000006" w:lineRule="auto"/>
        <w:ind w:left="720" w:hanging="360"/>
        <w:rPr>
          <w:rFonts w:ascii="Times New Roman" w:cs="Times New Roman" w:eastAsia="Times New Roman" w:hAnsi="Times New Roman"/>
          <w:color w:val="222222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1"/>
        </w:rPr>
        <w:t xml:space="preserve">تقاطع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1"/>
        </w:rPr>
        <w:t xml:space="preserve">أجل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1"/>
        </w:rPr>
        <w:t xml:space="preserve">الحقوق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1"/>
        </w:rPr>
        <w:t xml:space="preserve">والحريات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bidi w:val="1"/>
        <w:spacing w:after="0" w:afterAutospacing="0" w:line="384.00000000000006" w:lineRule="auto"/>
        <w:ind w:left="720" w:hanging="360"/>
        <w:rPr>
          <w:rFonts w:ascii="Times New Roman" w:cs="Times New Roman" w:eastAsia="Times New Roman" w:hAnsi="Times New Roman"/>
          <w:color w:val="222222"/>
          <w:sz w:val="24"/>
          <w:szCs w:val="24"/>
          <w:u w:val="none"/>
        </w:rPr>
      </w:pPr>
      <w:r w:rsidDel="00000000" w:rsidR="00000000" w:rsidRPr="00000000">
        <w:rPr>
          <w:rtl w:val="1"/>
        </w:rPr>
        <w:t xml:space="preserve">مؤسسة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دعم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القانون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والديمقراطية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bidi w:val="1"/>
        <w:spacing w:after="0" w:afterAutospacing="0" w:line="384.00000000000006" w:lineRule="auto"/>
        <w:ind w:left="720" w:hanging="360"/>
        <w:rPr>
          <w:u w:val="none"/>
        </w:rPr>
      </w:pPr>
      <w:r w:rsidDel="00000000" w:rsidR="00000000" w:rsidRPr="00000000">
        <w:rPr>
          <w:rtl w:val="1"/>
        </w:rPr>
        <w:t xml:space="preserve">منتدى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المشرق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والمغرب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للشؤون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السجنية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bidi w:val="1"/>
        <w:spacing w:after="0" w:afterAutospacing="0" w:line="384.00000000000006" w:lineRule="auto"/>
        <w:ind w:left="720" w:hanging="360"/>
        <w:rPr>
          <w:u w:val="none"/>
        </w:rPr>
      </w:pPr>
      <w:r w:rsidDel="00000000" w:rsidR="00000000" w:rsidRPr="00000000">
        <w:rPr>
          <w:rtl w:val="1"/>
        </w:rPr>
        <w:t xml:space="preserve">منا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لحقوق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الإنسان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bidi w:val="1"/>
        <w:spacing w:after="0" w:afterAutospacing="0" w:line="384.00000000000006" w:lineRule="auto"/>
        <w:ind w:left="720" w:hanging="360"/>
        <w:rPr>
          <w:u w:val="none"/>
        </w:rPr>
      </w:pPr>
      <w:r w:rsidDel="00000000" w:rsidR="00000000" w:rsidRPr="00000000">
        <w:rPr>
          <w:rtl w:val="1"/>
        </w:rPr>
        <w:t xml:space="preserve">نجدة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لحقوق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الإنسان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bidi w:val="1"/>
        <w:spacing w:after="0" w:afterAutospacing="0" w:line="384.00000000000006" w:lineRule="auto"/>
        <w:ind w:left="720" w:hanging="360"/>
        <w:rPr>
          <w:u w:val="none"/>
        </w:rPr>
      </w:pPr>
      <w:r w:rsidDel="00000000" w:rsidR="00000000" w:rsidRPr="00000000">
        <w:rPr>
          <w:rtl w:val="1"/>
        </w:rPr>
        <w:t xml:space="preserve">نادي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الدولي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bidi w:val="1"/>
        <w:spacing w:after="0" w:afterAutospacing="0" w:line="384.00000000000006" w:lineRule="auto"/>
        <w:ind w:left="720" w:hanging="360"/>
        <w:rPr>
          <w:u w:val="none"/>
        </w:rPr>
      </w:pPr>
      <w:r w:rsidDel="00000000" w:rsidR="00000000" w:rsidRPr="00000000">
        <w:rPr>
          <w:rtl w:val="1"/>
        </w:rPr>
        <w:t xml:space="preserve">الناس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حاجة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bidi w:val="1"/>
        <w:spacing w:after="0" w:afterAutospacing="0" w:line="384.00000000000006" w:lineRule="auto"/>
        <w:ind w:left="720" w:hanging="360"/>
        <w:rPr>
          <w:rFonts w:ascii="Times New Roman" w:cs="Times New Roman" w:eastAsia="Times New Roman" w:hAnsi="Times New Roman"/>
          <w:color w:val="222222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rtl w:val="1"/>
        </w:rPr>
        <w:t xml:space="preserve">ريدوورد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rtl w:val="1"/>
        </w:rPr>
        <w:t xml:space="preserve">لحقوق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rtl w:val="1"/>
        </w:rPr>
        <w:t xml:space="preserve">الإنسان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rtl w:val="1"/>
        </w:rPr>
        <w:t xml:space="preserve">وحرية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rtl w:val="1"/>
        </w:rPr>
        <w:t xml:space="preserve">التعبير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bidi w:val="1"/>
        <w:spacing w:after="0" w:afterAutospacing="0" w:line="384.00000000000006" w:lineRule="auto"/>
        <w:ind w:left="720" w:hanging="360"/>
        <w:rPr>
          <w:rFonts w:ascii="Times New Roman" w:cs="Times New Roman" w:eastAsia="Times New Roman" w:hAnsi="Times New Roman"/>
          <w:color w:val="222222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rtl w:val="1"/>
        </w:rPr>
        <w:t xml:space="preserve">روبرت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rtl w:val="1"/>
        </w:rPr>
        <w:t xml:space="preserve">كينيدي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rtl w:val="1"/>
        </w:rPr>
        <w:t xml:space="preserve">لحقوق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rtl w:val="1"/>
        </w:rPr>
        <w:t xml:space="preserve">الإنسان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bidi w:val="1"/>
        <w:spacing w:after="0" w:afterAutospacing="0" w:line="384.00000000000006" w:lineRule="auto"/>
        <w:ind w:left="720" w:hanging="360"/>
        <w:rPr>
          <w:rFonts w:ascii="Times New Roman" w:cs="Times New Roman" w:eastAsia="Times New Roman" w:hAnsi="Times New Roman"/>
          <w:color w:val="222222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rtl w:val="1"/>
        </w:rPr>
        <w:t xml:space="preserve">سيناء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rtl w:val="1"/>
        </w:rPr>
        <w:t xml:space="preserve">لحقوق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rtl w:val="1"/>
        </w:rPr>
        <w:t xml:space="preserve">الإنسان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bidi w:val="1"/>
        <w:spacing w:after="0" w:afterAutospacing="0" w:line="384.00000000000006" w:lineRule="auto"/>
        <w:ind w:left="720" w:hanging="360"/>
        <w:rPr>
          <w:rFonts w:ascii="Times New Roman" w:cs="Times New Roman" w:eastAsia="Times New Roman" w:hAnsi="Times New Roman"/>
          <w:color w:val="222222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rtl w:val="1"/>
        </w:rPr>
        <w:t xml:space="preserve">معهد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rtl w:val="1"/>
        </w:rPr>
        <w:t xml:space="preserve">التحرير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rtl w:val="1"/>
        </w:rPr>
        <w:t xml:space="preserve">لسياسات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rtl w:val="1"/>
        </w:rPr>
        <w:t xml:space="preserve">الشرق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rtl w:val="1"/>
        </w:rPr>
        <w:t xml:space="preserve">الأوسط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bidi w:val="1"/>
        <w:spacing w:after="0" w:afterAutospacing="0" w:line="384.00000000000006" w:lineRule="auto"/>
        <w:ind w:left="720" w:hanging="360"/>
        <w:rPr>
          <w:rFonts w:ascii="Times New Roman" w:cs="Times New Roman" w:eastAsia="Times New Roman" w:hAnsi="Times New Roman"/>
          <w:color w:val="222222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rtl w:val="1"/>
        </w:rPr>
        <w:t xml:space="preserve">حقهم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bidi w:val="1"/>
        <w:spacing w:after="0" w:afterAutospacing="0" w:line="384.00000000000006" w:lineRule="auto"/>
        <w:ind w:left="720" w:hanging="360"/>
        <w:rPr>
          <w:rFonts w:ascii="Times New Roman" w:cs="Times New Roman" w:eastAsia="Times New Roman" w:hAnsi="Times New Roman"/>
          <w:color w:val="222222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rtl w:val="1"/>
        </w:rPr>
        <w:t xml:space="preserve">أمم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rtl w:val="1"/>
        </w:rPr>
        <w:t xml:space="preserve">للأبحاث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rtl w:val="1"/>
        </w:rPr>
        <w:t xml:space="preserve">والتوثيق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bidi w:val="1"/>
        <w:spacing w:after="300" w:line="384.00000000000006" w:lineRule="auto"/>
        <w:ind w:left="720" w:hanging="360"/>
        <w:rPr>
          <w:rFonts w:ascii="Times New Roman" w:cs="Times New Roman" w:eastAsia="Times New Roman" w:hAnsi="Times New Roman"/>
          <w:color w:val="222222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rtl w:val="1"/>
        </w:rPr>
        <w:t xml:space="preserve">وصل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rtl w:val="1"/>
        </w:rPr>
        <w:t xml:space="preserve">للسلام</w:t>
      </w:r>
    </w:p>
    <w:p w:rsidR="00000000" w:rsidDel="00000000" w:rsidP="00000000" w:rsidRDefault="00000000" w:rsidRPr="00000000" w14:paraId="0000002F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bidi w:val="1"/>
        <w:spacing w:after="300" w:line="384.00000000000006" w:lineRule="auto"/>
        <w:ind w:left="720" w:firstLine="0"/>
        <w:rPr>
          <w:rFonts w:ascii="Times New Roman" w:cs="Times New Roman" w:eastAsia="Times New Roman" w:hAnsi="Times New Roman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bidi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cpj.org/2026/06/egypt-sentences-commentator-ahmed-douma-to-1-year-in-prison/" TargetMode="External"/><Relationship Id="rId10" Type="http://schemas.openxmlformats.org/officeDocument/2006/relationships/hyperlink" Target="https://cpj.org/2026/06/egypt-sentences-commentator-ahmed-douma-to-1-year-in-prison/" TargetMode="External"/><Relationship Id="rId13" Type="http://schemas.openxmlformats.org/officeDocument/2006/relationships/hyperlink" Target="https://cpj.org/2026/06/egypt-sentences-commentator-ahmed-douma-to-1-year-in-prison/" TargetMode="External"/><Relationship Id="rId12" Type="http://schemas.openxmlformats.org/officeDocument/2006/relationships/hyperlink" Target="https://cpj.org/2026/06/egypt-sentences-commentator-ahmed-douma-to-1-year-in-prison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alaraby.co.uk/blogs/%D9%85%D9%86-%D8%A7%D9%84%D8%B3%D8%AC%D9%86-%D8%AF%D8%A7%D8%AE%D9%84-%D8%A7%D9%84%D8%AF%D9%88%D9%84%D8%A9-%D8%A5%D9%84%D9%89-%D8%A7%D9%84%D8%AF%D9%88%D9%84%D8%A9-%D8%AF%D8%A7%D8%AE%D9%84-%D8%A7%D9%84%D8%B3%D8%AC%D9%86" TargetMode="External"/><Relationship Id="rId15" Type="http://schemas.openxmlformats.org/officeDocument/2006/relationships/hyperlink" Target="https://www.icj.org/egypt-ahmed-douma-10-years-of-arbitrary-detention-over-900-individuals-and-rights-groups-renew-their-call-for-his-immediate-release/" TargetMode="External"/><Relationship Id="rId14" Type="http://schemas.openxmlformats.org/officeDocument/2006/relationships/hyperlink" Target="https://www.icj.org/egypt-ahmed-douma-10-years-of-arbitrary-detention-over-900-individuals-and-rights-groups-renew-their-call-for-his-immediate-release/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alaraby.co.uk/blogs/%D9%85%D9%86-%D8%A7%D9%84%D8%B3%D8%AC%D9%86-%D8%AF%D8%A7%D8%AE%D9%84-%D8%A7%D9%84%D8%AF%D9%88%D9%84%D8%A9-%D8%A5%D9%84%D9%89-%D8%A7%D9%84%D8%AF%D9%88%D9%84%D8%A9-%D8%AF%D8%A7%D8%AE%D9%84-%D8%A7%D9%84%D8%B3%D8%AC%D9%86" TargetMode="External"/><Relationship Id="rId7" Type="http://schemas.openxmlformats.org/officeDocument/2006/relationships/hyperlink" Target="https://www.alaraby.co.uk/blogs/%D9%85%D9%86-%D8%A7%D9%84%D8%B3%D8%AC%D9%86-%D8%AF%D8%A7%D8%AE%D9%84-%D8%A7%D9%84%D8%AF%D9%88%D9%84%D8%A9-%D8%A5%D9%84%D9%89-%D8%A7%D9%84%D8%AF%D9%88%D9%84%D8%A9-%D8%AF%D8%A7%D8%AE%D9%84-%D8%A7%D9%84%D8%B3%D8%AC%D9%86" TargetMode="External"/><Relationship Id="rId8" Type="http://schemas.openxmlformats.org/officeDocument/2006/relationships/hyperlink" Target="https://www.alaraby.co.uk/blogs/%D9%85%D9%86-%D8%A7%D9%84%D8%B3%D8%AC%D9%86-%D8%AF%D8%A7%D8%AE%D9%84-%D8%A7%D9%84%D8%AF%D9%88%D9%84%D8%A9-%D8%A5%D9%84%D9%89-%D8%A7%D9%84%D8%AF%D9%88%D9%84%D8%A9-%D8%AF%D8%A7%D8%AE%D9%84-%D8%A7%D9%84%D8%B3%D8%AC%D9%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